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90AC" w14:textId="60B730B6" w:rsidR="007F1A38" w:rsidRPr="00C50F57" w:rsidRDefault="007F1A38" w:rsidP="007F1A38">
      <w:pPr>
        <w:spacing w:line="240" w:lineRule="auto"/>
        <w:jc w:val="center"/>
        <w:rPr>
          <w:b/>
          <w:bCs/>
        </w:rPr>
      </w:pPr>
      <w:r w:rsidRPr="00C50F57">
        <w:rPr>
          <w:b/>
          <w:bCs/>
        </w:rPr>
        <w:t>PUBLIC NOTICE</w:t>
      </w:r>
    </w:p>
    <w:p w14:paraId="2F47B760" w14:textId="77777777" w:rsidR="00236C42" w:rsidRPr="00CC7154" w:rsidRDefault="00236C42" w:rsidP="00236C42">
      <w:pPr>
        <w:spacing w:after="0" w:line="240" w:lineRule="auto"/>
        <w:jc w:val="center"/>
        <w:rPr>
          <w:rFonts w:cstheme="minorHAnsi"/>
          <w:b/>
          <w:bCs/>
        </w:rPr>
      </w:pPr>
      <w:r w:rsidRPr="00CC7154">
        <w:rPr>
          <w:rFonts w:cstheme="minorHAnsi"/>
          <w:b/>
          <w:bCs/>
        </w:rPr>
        <w:t>UNIFIED GOVERNMENT OF WYANDOTTE COUNTY/KANSAS CITY, KANSAS</w:t>
      </w:r>
    </w:p>
    <w:p w14:paraId="6D52BCE2" w14:textId="77777777" w:rsidR="00236C42" w:rsidRPr="00CC7154" w:rsidRDefault="00236C42" w:rsidP="00236C42">
      <w:pPr>
        <w:spacing w:line="240" w:lineRule="auto"/>
        <w:jc w:val="center"/>
        <w:rPr>
          <w:rFonts w:cstheme="minorHAnsi"/>
          <w:b/>
          <w:bCs/>
        </w:rPr>
      </w:pPr>
      <w:r w:rsidRPr="00CC7154">
        <w:rPr>
          <w:rFonts w:cstheme="minorHAnsi"/>
          <w:b/>
          <w:bCs/>
        </w:rPr>
        <w:t>DRAFT 2022-2026 CONSOLIDATED PLAN AND ACCOMPANNYING DOCUMENTS</w:t>
      </w:r>
    </w:p>
    <w:p w14:paraId="2F04AB4C" w14:textId="195990C6" w:rsidR="00AE5C5C" w:rsidRDefault="007F1A38" w:rsidP="00236C42">
      <w:pPr>
        <w:spacing w:line="240" w:lineRule="auto"/>
        <w:rPr>
          <w:rFonts w:cstheme="minorHAnsi"/>
        </w:rPr>
      </w:pPr>
      <w:r>
        <w:t>The Unified Government of Wyandotte County and Kansas City</w:t>
      </w:r>
      <w:r w:rsidR="00D5758C">
        <w:t>, KS</w:t>
      </w:r>
      <w:r>
        <w:t xml:space="preserve"> </w:t>
      </w:r>
      <w:r w:rsidR="00CB5F97">
        <w:t xml:space="preserve">(UG) </w:t>
      </w:r>
      <w:r>
        <w:t>is currently developing the five-year Consolidated Plan to improve housing options and encourage community development in the city and county. A second study, the Analysis of Impediments to Fair Housing, will look at whether everyone has similar choices for housing regardless of their race, ethnicity, national origin, sex, religion, disability, or whether they have children. These plans are required by the U.S. Department of Housing and Urban Development (HUD) for the Unified Government to receive Community Development Block Grant (CDBG</w:t>
      </w:r>
      <w:r w:rsidR="00236C42">
        <w:t xml:space="preserve">; </w:t>
      </w:r>
      <w:r w:rsidR="00236C42" w:rsidRPr="00CC7154">
        <w:rPr>
          <w:rFonts w:cstheme="minorHAnsi"/>
        </w:rPr>
        <w:t>$2,189,834)</w:t>
      </w:r>
      <w:r>
        <w:t>, HOME Program</w:t>
      </w:r>
      <w:r w:rsidR="00236C42">
        <w:t xml:space="preserve"> </w:t>
      </w:r>
      <w:r w:rsidR="00236C42" w:rsidRPr="00CC7154">
        <w:rPr>
          <w:rFonts w:cstheme="minorHAnsi"/>
        </w:rPr>
        <w:t>($952,956</w:t>
      </w:r>
      <w:r w:rsidR="00236C42">
        <w:rPr>
          <w:rFonts w:cstheme="minorHAnsi"/>
        </w:rPr>
        <w:t>)</w:t>
      </w:r>
      <w:r>
        <w:t>, and Emergency Solutions Grants (ESG</w:t>
      </w:r>
      <w:r w:rsidR="00236C42">
        <w:t xml:space="preserve">; </w:t>
      </w:r>
      <w:r w:rsidR="00236C42" w:rsidRPr="00CC7154">
        <w:rPr>
          <w:rFonts w:cstheme="minorHAnsi"/>
        </w:rPr>
        <w:t>$195,473</w:t>
      </w:r>
      <w:r>
        <w:t>) funds.</w:t>
      </w:r>
      <w:r w:rsidR="00AE5C5C" w:rsidRPr="00AE5C5C">
        <w:t xml:space="preserve"> </w:t>
      </w:r>
      <w:r w:rsidR="00236C42">
        <w:rPr>
          <w:rFonts w:cstheme="minorHAnsi"/>
        </w:rPr>
        <w:t>T</w:t>
      </w:r>
      <w:r w:rsidR="00236C42" w:rsidRPr="00CC7154">
        <w:rPr>
          <w:rFonts w:cstheme="minorHAnsi"/>
        </w:rPr>
        <w:t xml:space="preserve">he UG will </w:t>
      </w:r>
      <w:r w:rsidR="009B2295">
        <w:rPr>
          <w:rFonts w:cstheme="minorHAnsi"/>
        </w:rPr>
        <w:t xml:space="preserve">also </w:t>
      </w:r>
      <w:r w:rsidR="00236C42" w:rsidRPr="00CC7154">
        <w:rPr>
          <w:rFonts w:cstheme="minorHAnsi"/>
        </w:rPr>
        <w:t>submit an amended Citizen Participation Plan</w:t>
      </w:r>
      <w:r w:rsidR="00236C42">
        <w:rPr>
          <w:rFonts w:cstheme="minorHAnsi"/>
        </w:rPr>
        <w:t>.</w:t>
      </w:r>
    </w:p>
    <w:p w14:paraId="2C8865EB" w14:textId="5F491A40" w:rsidR="00236C42" w:rsidRDefault="00236C42" w:rsidP="00236C42">
      <w:pPr>
        <w:spacing w:line="240" w:lineRule="auto"/>
      </w:pPr>
      <w:r>
        <w:rPr>
          <w:rFonts w:cstheme="minorHAnsi"/>
        </w:rPr>
        <w:t xml:space="preserve">The UG will hold </w:t>
      </w:r>
      <w:r w:rsidRPr="00CC7154">
        <w:rPr>
          <w:rFonts w:cstheme="minorHAnsi"/>
        </w:rPr>
        <w:t>a 30-day review and public comment period</w:t>
      </w:r>
      <w:r>
        <w:rPr>
          <w:rFonts w:cstheme="minorHAnsi"/>
        </w:rPr>
        <w:t>, which</w:t>
      </w:r>
      <w:r w:rsidRPr="00CC7154">
        <w:rPr>
          <w:rFonts w:cstheme="minorHAnsi"/>
        </w:rPr>
        <w:t xml:space="preserve"> will begin on June 2, 2022 and end on July 5, 2022. The entire Consolidated Plan with accompanying documents can be </w:t>
      </w:r>
      <w:r>
        <w:rPr>
          <w:rFonts w:cstheme="minorHAnsi"/>
        </w:rPr>
        <w:t>viewed</w:t>
      </w:r>
      <w:r w:rsidRPr="00CC7154">
        <w:rPr>
          <w:rFonts w:cstheme="minorHAnsi"/>
        </w:rPr>
        <w:t xml:space="preserve"> </w:t>
      </w:r>
      <w:r>
        <w:rPr>
          <w:rFonts w:cstheme="minorHAnsi"/>
        </w:rPr>
        <w:t xml:space="preserve">and </w:t>
      </w:r>
      <w:r w:rsidRPr="00CC7154">
        <w:rPr>
          <w:rFonts w:cstheme="minorHAnsi"/>
        </w:rPr>
        <w:t>online comment form</w:t>
      </w:r>
      <w:r>
        <w:rPr>
          <w:rFonts w:cstheme="minorHAnsi"/>
        </w:rPr>
        <w:t>s</w:t>
      </w:r>
      <w:r w:rsidRPr="00CC7154">
        <w:rPr>
          <w:rFonts w:cstheme="minorHAnsi"/>
        </w:rPr>
        <w:t xml:space="preserve"> can be submitted at </w:t>
      </w:r>
      <w:hyperlink r:id="rId5" w:history="1">
        <w:r w:rsidRPr="00CC7154">
          <w:rPr>
            <w:rStyle w:val="Hyperlink"/>
            <w:rFonts w:cstheme="minorHAnsi"/>
          </w:rPr>
          <w:t>https://www.wycokck.org/Departments/Community-Development/Community-Development-Consolidated-Plan</w:t>
        </w:r>
      </w:hyperlink>
      <w:r w:rsidRPr="00CC7154">
        <w:rPr>
          <w:rFonts w:cstheme="minorHAnsi"/>
        </w:rPr>
        <w:t>.</w:t>
      </w:r>
      <w:r>
        <w:rPr>
          <w:rFonts w:cstheme="minorHAnsi"/>
        </w:rPr>
        <w:t xml:space="preserve"> </w:t>
      </w:r>
      <w:r w:rsidRPr="00CC7154">
        <w:rPr>
          <w:rFonts w:cstheme="minorHAnsi"/>
        </w:rPr>
        <w:t>Copies of the plans are available for review at the UG Community Development Department and the UG Clerk’s office. Those needing assistance should contact the Community Development Department, 701 N. 7</w:t>
      </w:r>
      <w:r w:rsidRPr="00CC7154">
        <w:rPr>
          <w:rFonts w:cstheme="minorHAnsi"/>
          <w:vertAlign w:val="superscript"/>
        </w:rPr>
        <w:t>th</w:t>
      </w:r>
      <w:r w:rsidRPr="00CC7154">
        <w:rPr>
          <w:rFonts w:cstheme="minorHAnsi"/>
        </w:rPr>
        <w:t xml:space="preserve"> Street, Suite 828, Kansas City, KS 66101 or (913) 573-5100. </w:t>
      </w:r>
      <w:r w:rsidR="0044570A">
        <w:rPr>
          <w:rFonts w:cstheme="minorHAnsi"/>
        </w:rPr>
        <w:t>Proposed</w:t>
      </w:r>
      <w:r w:rsidRPr="00CC7154">
        <w:rPr>
          <w:rFonts w:cstheme="minorHAnsi"/>
        </w:rPr>
        <w:t xml:space="preserve"> activities and funds </w:t>
      </w:r>
      <w:r w:rsidR="0044570A">
        <w:rPr>
          <w:rFonts w:cstheme="minorHAnsi"/>
        </w:rPr>
        <w:t>are listed</w:t>
      </w:r>
      <w:r w:rsidRPr="00CC7154">
        <w:rPr>
          <w:rFonts w:cstheme="minorHAnsi"/>
        </w:rPr>
        <w:t xml:space="preserve"> below.</w:t>
      </w:r>
    </w:p>
    <w:tbl>
      <w:tblPr>
        <w:tblStyle w:val="TableGrid"/>
        <w:tblW w:w="0" w:type="auto"/>
        <w:tblLook w:val="04A0" w:firstRow="1" w:lastRow="0" w:firstColumn="1" w:lastColumn="0" w:noHBand="0" w:noVBand="1"/>
      </w:tblPr>
      <w:tblGrid>
        <w:gridCol w:w="6745"/>
        <w:gridCol w:w="1260"/>
        <w:gridCol w:w="1345"/>
      </w:tblGrid>
      <w:tr w:rsidR="00236C42" w:rsidRPr="006A32C8" w14:paraId="06D2BA5C" w14:textId="77777777" w:rsidTr="008630F1">
        <w:tc>
          <w:tcPr>
            <w:tcW w:w="6745" w:type="dxa"/>
          </w:tcPr>
          <w:p w14:paraId="758AC3A3" w14:textId="77777777" w:rsidR="00236C42" w:rsidRPr="006A32C8" w:rsidRDefault="00236C42" w:rsidP="008630F1">
            <w:pPr>
              <w:rPr>
                <w:rFonts w:cstheme="minorHAnsi"/>
                <w:b/>
                <w:bCs/>
                <w:color w:val="000000"/>
              </w:rPr>
            </w:pPr>
            <w:r w:rsidRPr="006A32C8">
              <w:rPr>
                <w:rFonts w:cstheme="minorHAnsi"/>
                <w:b/>
                <w:bCs/>
                <w:color w:val="000000"/>
              </w:rPr>
              <w:t>DRAFT ANNUAL ACTION PLAN (subject to change)</w:t>
            </w:r>
          </w:p>
        </w:tc>
        <w:tc>
          <w:tcPr>
            <w:tcW w:w="1260" w:type="dxa"/>
          </w:tcPr>
          <w:p w14:paraId="678038F3" w14:textId="77777777" w:rsidR="00236C42" w:rsidRPr="006A32C8" w:rsidRDefault="00236C42" w:rsidP="008630F1">
            <w:pPr>
              <w:rPr>
                <w:rFonts w:cstheme="minorHAnsi"/>
                <w:b/>
                <w:bCs/>
              </w:rPr>
            </w:pPr>
            <w:r w:rsidRPr="006A32C8">
              <w:rPr>
                <w:rFonts w:cstheme="minorHAnsi"/>
                <w:b/>
                <w:bCs/>
              </w:rPr>
              <w:t>Subtotal</w:t>
            </w:r>
          </w:p>
        </w:tc>
        <w:tc>
          <w:tcPr>
            <w:tcW w:w="1345" w:type="dxa"/>
          </w:tcPr>
          <w:p w14:paraId="3D15C27B" w14:textId="77777777" w:rsidR="00236C42" w:rsidRPr="006A32C8" w:rsidRDefault="00236C42" w:rsidP="008630F1">
            <w:pPr>
              <w:rPr>
                <w:rFonts w:cstheme="minorHAnsi"/>
                <w:b/>
                <w:bCs/>
              </w:rPr>
            </w:pPr>
            <w:r w:rsidRPr="006A32C8">
              <w:rPr>
                <w:rFonts w:cstheme="minorHAnsi"/>
                <w:b/>
                <w:bCs/>
              </w:rPr>
              <w:t>Total</w:t>
            </w:r>
          </w:p>
        </w:tc>
      </w:tr>
      <w:tr w:rsidR="00236C42" w:rsidRPr="006A32C8" w14:paraId="506D6021" w14:textId="77777777" w:rsidTr="008630F1">
        <w:tc>
          <w:tcPr>
            <w:tcW w:w="6745" w:type="dxa"/>
          </w:tcPr>
          <w:tbl>
            <w:tblPr>
              <w:tblW w:w="4540" w:type="dxa"/>
              <w:tblLook w:val="04A0" w:firstRow="1" w:lastRow="0" w:firstColumn="1" w:lastColumn="0" w:noHBand="0" w:noVBand="1"/>
            </w:tblPr>
            <w:tblGrid>
              <w:gridCol w:w="4540"/>
            </w:tblGrid>
            <w:tr w:rsidR="00236C42" w:rsidRPr="006A32C8" w14:paraId="16EB2001" w14:textId="77777777" w:rsidTr="008630F1">
              <w:trPr>
                <w:trHeight w:val="285"/>
              </w:trPr>
              <w:tc>
                <w:tcPr>
                  <w:tcW w:w="4540" w:type="dxa"/>
                  <w:tcBorders>
                    <w:top w:val="nil"/>
                    <w:left w:val="nil"/>
                    <w:bottom w:val="nil"/>
                    <w:right w:val="nil"/>
                  </w:tcBorders>
                  <w:shd w:val="clear" w:color="auto" w:fill="auto"/>
                  <w:noWrap/>
                  <w:vAlign w:val="bottom"/>
                  <w:hideMark/>
                </w:tcPr>
                <w:p w14:paraId="5D440E72" w14:textId="77777777" w:rsidR="00236C42" w:rsidRPr="006A32C8" w:rsidRDefault="00236C42" w:rsidP="008630F1">
                  <w:pPr>
                    <w:spacing w:after="0" w:line="240" w:lineRule="auto"/>
                    <w:rPr>
                      <w:rFonts w:eastAsia="Times New Roman" w:cstheme="minorHAnsi"/>
                      <w:b/>
                      <w:bCs/>
                      <w:color w:val="000000"/>
                    </w:rPr>
                  </w:pPr>
                  <w:r w:rsidRPr="006A32C8">
                    <w:rPr>
                      <w:rFonts w:eastAsia="Times New Roman" w:cstheme="minorHAnsi"/>
                      <w:b/>
                      <w:bCs/>
                      <w:color w:val="000000"/>
                    </w:rPr>
                    <w:t>CDBG Public Services</w:t>
                  </w:r>
                </w:p>
              </w:tc>
            </w:tr>
            <w:tr w:rsidR="00236C42" w:rsidRPr="006A32C8" w14:paraId="4FED54E0" w14:textId="77777777" w:rsidTr="008630F1">
              <w:trPr>
                <w:trHeight w:val="285"/>
              </w:trPr>
              <w:tc>
                <w:tcPr>
                  <w:tcW w:w="4540" w:type="dxa"/>
                  <w:tcBorders>
                    <w:top w:val="nil"/>
                    <w:left w:val="nil"/>
                    <w:bottom w:val="nil"/>
                    <w:right w:val="nil"/>
                  </w:tcBorders>
                  <w:shd w:val="clear" w:color="auto" w:fill="auto"/>
                  <w:noWrap/>
                  <w:vAlign w:val="bottom"/>
                  <w:hideMark/>
                </w:tcPr>
                <w:p w14:paraId="5537921D" w14:textId="77777777" w:rsidR="00236C42" w:rsidRPr="006A32C8" w:rsidRDefault="00236C42" w:rsidP="008630F1">
                  <w:pPr>
                    <w:spacing w:after="0" w:line="240" w:lineRule="auto"/>
                    <w:rPr>
                      <w:rFonts w:eastAsia="Times New Roman" w:cstheme="minorHAnsi"/>
                      <w:color w:val="000000"/>
                    </w:rPr>
                  </w:pPr>
                  <w:r w:rsidRPr="006A32C8">
                    <w:rPr>
                      <w:rFonts w:eastAsia="Times New Roman" w:cstheme="minorHAnsi"/>
                      <w:color w:val="000000"/>
                    </w:rPr>
                    <w:t xml:space="preserve">    Livable Neighborhoods</w:t>
                  </w:r>
                </w:p>
              </w:tc>
            </w:tr>
            <w:tr w:rsidR="00236C42" w:rsidRPr="006A32C8" w14:paraId="043D1680" w14:textId="77777777" w:rsidTr="008630F1">
              <w:trPr>
                <w:trHeight w:val="285"/>
              </w:trPr>
              <w:tc>
                <w:tcPr>
                  <w:tcW w:w="4540" w:type="dxa"/>
                  <w:tcBorders>
                    <w:top w:val="nil"/>
                    <w:left w:val="nil"/>
                    <w:bottom w:val="nil"/>
                    <w:right w:val="nil"/>
                  </w:tcBorders>
                  <w:shd w:val="clear" w:color="auto" w:fill="auto"/>
                  <w:noWrap/>
                  <w:vAlign w:val="bottom"/>
                  <w:hideMark/>
                </w:tcPr>
                <w:p w14:paraId="5EDDF641" w14:textId="77777777" w:rsidR="00236C42" w:rsidRPr="006A32C8" w:rsidRDefault="00236C42" w:rsidP="008630F1">
                  <w:pPr>
                    <w:spacing w:after="0" w:line="240" w:lineRule="auto"/>
                    <w:rPr>
                      <w:rFonts w:eastAsia="Times New Roman" w:cstheme="minorHAnsi"/>
                      <w:color w:val="000000"/>
                    </w:rPr>
                  </w:pPr>
                  <w:r w:rsidRPr="006A32C8">
                    <w:rPr>
                      <w:rFonts w:eastAsia="Times New Roman" w:cstheme="minorHAnsi"/>
                      <w:color w:val="000000"/>
                    </w:rPr>
                    <w:t xml:space="preserve">    Willa Gill Multi-Service Center</w:t>
                  </w:r>
                </w:p>
              </w:tc>
            </w:tr>
          </w:tbl>
          <w:p w14:paraId="3694DBC8" w14:textId="77777777" w:rsidR="00236C42" w:rsidRPr="006A32C8" w:rsidRDefault="00236C42" w:rsidP="008630F1">
            <w:pPr>
              <w:rPr>
                <w:rFonts w:cstheme="minorHAnsi"/>
              </w:rPr>
            </w:pPr>
          </w:p>
        </w:tc>
        <w:tc>
          <w:tcPr>
            <w:tcW w:w="1260" w:type="dxa"/>
          </w:tcPr>
          <w:p w14:paraId="07C052BD" w14:textId="77777777" w:rsidR="00236C42" w:rsidRPr="006A32C8" w:rsidRDefault="00236C42" w:rsidP="008630F1">
            <w:pPr>
              <w:jc w:val="right"/>
              <w:rPr>
                <w:rFonts w:cstheme="minorHAnsi"/>
              </w:rPr>
            </w:pPr>
            <w:r w:rsidRPr="006A32C8">
              <w:rPr>
                <w:rFonts w:cstheme="minorHAnsi"/>
              </w:rPr>
              <w:br/>
              <w:t>$20,000</w:t>
            </w:r>
            <w:r w:rsidRPr="006A32C8">
              <w:rPr>
                <w:rFonts w:cstheme="minorHAnsi"/>
              </w:rPr>
              <w:br/>
              <w:t>$148,000</w:t>
            </w:r>
          </w:p>
        </w:tc>
        <w:tc>
          <w:tcPr>
            <w:tcW w:w="1345" w:type="dxa"/>
          </w:tcPr>
          <w:p w14:paraId="7832D048" w14:textId="77777777" w:rsidR="00236C42" w:rsidRPr="006A32C8" w:rsidRDefault="00236C42" w:rsidP="008630F1">
            <w:pPr>
              <w:jc w:val="right"/>
              <w:rPr>
                <w:rFonts w:cstheme="minorHAnsi"/>
                <w:b/>
                <w:bCs/>
              </w:rPr>
            </w:pPr>
            <w:r w:rsidRPr="006A32C8">
              <w:rPr>
                <w:rFonts w:cstheme="minorHAnsi"/>
                <w:b/>
                <w:bCs/>
              </w:rPr>
              <w:br/>
            </w:r>
            <w:r w:rsidRPr="006A32C8">
              <w:rPr>
                <w:rFonts w:cstheme="minorHAnsi"/>
                <w:b/>
                <w:bCs/>
              </w:rPr>
              <w:br/>
              <w:t>$168,000</w:t>
            </w:r>
          </w:p>
        </w:tc>
      </w:tr>
      <w:tr w:rsidR="00236C42" w:rsidRPr="006A32C8" w14:paraId="28FB56B8" w14:textId="77777777" w:rsidTr="008630F1">
        <w:tc>
          <w:tcPr>
            <w:tcW w:w="6745" w:type="dxa"/>
          </w:tcPr>
          <w:p w14:paraId="0F0DA324" w14:textId="77777777" w:rsidR="00236C42" w:rsidRPr="006A32C8" w:rsidRDefault="00236C42" w:rsidP="008630F1">
            <w:pPr>
              <w:rPr>
                <w:rFonts w:cstheme="minorHAnsi"/>
                <w:b/>
                <w:bCs/>
              </w:rPr>
            </w:pPr>
            <w:r w:rsidRPr="006A32C8">
              <w:rPr>
                <w:rFonts w:cstheme="minorHAnsi"/>
                <w:b/>
                <w:bCs/>
              </w:rPr>
              <w:t>CDBG Acquisition/Rehab/Reconstruction</w:t>
            </w:r>
          </w:p>
          <w:p w14:paraId="193844B1" w14:textId="77777777" w:rsidR="00236C42" w:rsidRPr="006A32C8" w:rsidRDefault="00236C42" w:rsidP="008630F1">
            <w:pPr>
              <w:rPr>
                <w:rFonts w:cstheme="minorHAnsi"/>
              </w:rPr>
            </w:pPr>
            <w:r w:rsidRPr="006A32C8">
              <w:rPr>
                <w:rFonts w:cstheme="minorHAnsi"/>
              </w:rPr>
              <w:t xml:space="preserve">    Emergency Home Repair Program</w:t>
            </w:r>
          </w:p>
          <w:p w14:paraId="1EAFFF03" w14:textId="77777777" w:rsidR="00236C42" w:rsidRPr="006A32C8" w:rsidRDefault="00236C42" w:rsidP="008630F1">
            <w:pPr>
              <w:rPr>
                <w:rFonts w:cstheme="minorHAnsi"/>
              </w:rPr>
            </w:pPr>
            <w:r w:rsidRPr="006A32C8">
              <w:rPr>
                <w:rFonts w:cstheme="minorHAnsi"/>
              </w:rPr>
              <w:t xml:space="preserve">    Project Delivery</w:t>
            </w:r>
          </w:p>
        </w:tc>
        <w:tc>
          <w:tcPr>
            <w:tcW w:w="1260" w:type="dxa"/>
          </w:tcPr>
          <w:p w14:paraId="60D6DF38" w14:textId="77777777" w:rsidR="00236C42" w:rsidRPr="006A32C8" w:rsidRDefault="00236C42" w:rsidP="008630F1">
            <w:pPr>
              <w:jc w:val="right"/>
              <w:rPr>
                <w:rFonts w:cstheme="minorHAnsi"/>
              </w:rPr>
            </w:pPr>
            <w:r w:rsidRPr="006A32C8">
              <w:rPr>
                <w:rFonts w:cstheme="minorHAnsi"/>
              </w:rPr>
              <w:br/>
              <w:t>$500,000</w:t>
            </w:r>
            <w:r w:rsidRPr="006A32C8">
              <w:rPr>
                <w:rFonts w:cstheme="minorHAnsi"/>
              </w:rPr>
              <w:br/>
              <w:t>$583,868</w:t>
            </w:r>
          </w:p>
        </w:tc>
        <w:tc>
          <w:tcPr>
            <w:tcW w:w="1345" w:type="dxa"/>
          </w:tcPr>
          <w:p w14:paraId="2E3E4BF9" w14:textId="77777777" w:rsidR="00236C42" w:rsidRDefault="00236C42" w:rsidP="008630F1">
            <w:pPr>
              <w:jc w:val="right"/>
              <w:rPr>
                <w:rFonts w:cstheme="minorHAnsi"/>
                <w:b/>
                <w:bCs/>
              </w:rPr>
            </w:pPr>
          </w:p>
          <w:p w14:paraId="26F56720" w14:textId="77777777" w:rsidR="00236C42" w:rsidRDefault="00236C42" w:rsidP="008630F1">
            <w:pPr>
              <w:jc w:val="right"/>
              <w:rPr>
                <w:rFonts w:cstheme="minorHAnsi"/>
                <w:b/>
                <w:bCs/>
              </w:rPr>
            </w:pPr>
          </w:p>
          <w:p w14:paraId="2F81FE08" w14:textId="77777777" w:rsidR="00236C42" w:rsidRPr="006A32C8" w:rsidRDefault="00236C42" w:rsidP="008630F1">
            <w:pPr>
              <w:jc w:val="right"/>
              <w:rPr>
                <w:rFonts w:cstheme="minorHAnsi"/>
                <w:b/>
                <w:bCs/>
              </w:rPr>
            </w:pPr>
            <w:r>
              <w:rPr>
                <w:rFonts w:cstheme="minorHAnsi"/>
                <w:b/>
                <w:bCs/>
              </w:rPr>
              <w:t>$1,083,868</w:t>
            </w:r>
          </w:p>
        </w:tc>
      </w:tr>
      <w:tr w:rsidR="00236C42" w:rsidRPr="00E9524C" w14:paraId="327A4C30" w14:textId="77777777" w:rsidTr="008630F1">
        <w:tc>
          <w:tcPr>
            <w:tcW w:w="6745" w:type="dxa"/>
          </w:tcPr>
          <w:p w14:paraId="4D3A9434" w14:textId="77777777" w:rsidR="00236C42" w:rsidRPr="00E9524C" w:rsidRDefault="00236C42" w:rsidP="008630F1">
            <w:pPr>
              <w:rPr>
                <w:rFonts w:cstheme="minorHAnsi"/>
                <w:color w:val="000000"/>
              </w:rPr>
            </w:pPr>
            <w:r w:rsidRPr="00E9524C">
              <w:rPr>
                <w:rFonts w:cstheme="minorHAnsi"/>
                <w:b/>
                <w:bCs/>
                <w:color w:val="000000"/>
              </w:rPr>
              <w:t xml:space="preserve">CDBG Public Facilities and Improvements- Area Master Plans </w:t>
            </w:r>
            <w:r w:rsidRPr="00E9524C">
              <w:rPr>
                <w:rFonts w:cstheme="minorHAnsi"/>
                <w:b/>
                <w:bCs/>
                <w:color w:val="000000"/>
              </w:rPr>
              <w:br/>
            </w:r>
            <w:r w:rsidRPr="00E9524C">
              <w:rPr>
                <w:rFonts w:cstheme="minorHAnsi"/>
                <w:color w:val="000000"/>
              </w:rPr>
              <w:t xml:space="preserve">    Curbs, Sidewalks, Infrastructure</w:t>
            </w:r>
          </w:p>
        </w:tc>
        <w:tc>
          <w:tcPr>
            <w:tcW w:w="1260" w:type="dxa"/>
          </w:tcPr>
          <w:p w14:paraId="5B54740B" w14:textId="77777777" w:rsidR="00236C42" w:rsidRPr="00E9524C" w:rsidRDefault="00236C42" w:rsidP="008630F1">
            <w:pPr>
              <w:jc w:val="right"/>
              <w:rPr>
                <w:rFonts w:cstheme="minorHAnsi"/>
              </w:rPr>
            </w:pPr>
            <w:r w:rsidRPr="00E9524C">
              <w:rPr>
                <w:rFonts w:cstheme="minorHAnsi"/>
              </w:rPr>
              <w:br/>
              <w:t>$500,000</w:t>
            </w:r>
          </w:p>
        </w:tc>
        <w:tc>
          <w:tcPr>
            <w:tcW w:w="1345" w:type="dxa"/>
          </w:tcPr>
          <w:p w14:paraId="51F4AC14" w14:textId="77777777" w:rsidR="00236C42" w:rsidRPr="00E9524C" w:rsidRDefault="00236C42" w:rsidP="008630F1">
            <w:pPr>
              <w:jc w:val="right"/>
              <w:rPr>
                <w:rFonts w:cstheme="minorHAnsi"/>
                <w:b/>
                <w:bCs/>
              </w:rPr>
            </w:pPr>
            <w:r w:rsidRPr="00E9524C">
              <w:rPr>
                <w:rFonts w:cstheme="minorHAnsi"/>
                <w:b/>
                <w:bCs/>
              </w:rPr>
              <w:br/>
              <w:t>$500,000</w:t>
            </w:r>
          </w:p>
        </w:tc>
      </w:tr>
      <w:tr w:rsidR="00236C42" w:rsidRPr="00E9524C" w14:paraId="3A731BEC" w14:textId="77777777" w:rsidTr="008630F1">
        <w:tc>
          <w:tcPr>
            <w:tcW w:w="6745" w:type="dxa"/>
          </w:tcPr>
          <w:p w14:paraId="18C9ADDF" w14:textId="77777777" w:rsidR="00236C42" w:rsidRPr="00E9524C" w:rsidRDefault="00236C42" w:rsidP="008630F1">
            <w:pPr>
              <w:rPr>
                <w:rFonts w:cstheme="minorHAnsi"/>
                <w:b/>
                <w:bCs/>
              </w:rPr>
            </w:pPr>
            <w:r w:rsidRPr="00E9524C">
              <w:rPr>
                <w:rFonts w:cstheme="minorHAnsi"/>
                <w:b/>
                <w:bCs/>
              </w:rPr>
              <w:t>CDBG Program Administration</w:t>
            </w:r>
          </w:p>
          <w:p w14:paraId="0C201516" w14:textId="77777777" w:rsidR="00236C42" w:rsidRPr="00E9524C" w:rsidRDefault="00236C42" w:rsidP="008630F1">
            <w:pPr>
              <w:rPr>
                <w:rFonts w:cstheme="minorHAnsi"/>
              </w:rPr>
            </w:pPr>
            <w:r w:rsidRPr="00E9524C">
              <w:rPr>
                <w:rFonts w:cstheme="minorHAnsi"/>
              </w:rPr>
              <w:t xml:space="preserve">    Administration </w:t>
            </w:r>
          </w:p>
        </w:tc>
        <w:tc>
          <w:tcPr>
            <w:tcW w:w="1260" w:type="dxa"/>
          </w:tcPr>
          <w:p w14:paraId="45D5B500" w14:textId="77777777" w:rsidR="00236C42" w:rsidRPr="00E9524C" w:rsidRDefault="00236C42" w:rsidP="008630F1">
            <w:pPr>
              <w:jc w:val="right"/>
              <w:rPr>
                <w:rFonts w:cstheme="minorHAnsi"/>
              </w:rPr>
            </w:pPr>
          </w:p>
          <w:p w14:paraId="328D89D5" w14:textId="77777777" w:rsidR="00236C42" w:rsidRPr="00E9524C" w:rsidRDefault="00236C42" w:rsidP="008630F1">
            <w:pPr>
              <w:jc w:val="right"/>
              <w:rPr>
                <w:rFonts w:cstheme="minorHAnsi"/>
              </w:rPr>
            </w:pPr>
            <w:r w:rsidRPr="00E9524C">
              <w:rPr>
                <w:rFonts w:cstheme="minorHAnsi"/>
              </w:rPr>
              <w:t>$437,966</w:t>
            </w:r>
          </w:p>
        </w:tc>
        <w:tc>
          <w:tcPr>
            <w:tcW w:w="1345" w:type="dxa"/>
          </w:tcPr>
          <w:p w14:paraId="7AED7922" w14:textId="77777777" w:rsidR="00236C42" w:rsidRPr="00E9524C" w:rsidRDefault="00236C42" w:rsidP="008630F1">
            <w:pPr>
              <w:jc w:val="right"/>
              <w:rPr>
                <w:rFonts w:cstheme="minorHAnsi"/>
                <w:b/>
                <w:bCs/>
              </w:rPr>
            </w:pPr>
          </w:p>
          <w:p w14:paraId="034CF582" w14:textId="77777777" w:rsidR="00236C42" w:rsidRPr="00E9524C" w:rsidRDefault="00236C42" w:rsidP="008630F1">
            <w:pPr>
              <w:jc w:val="right"/>
              <w:rPr>
                <w:rFonts w:cstheme="minorHAnsi"/>
                <w:b/>
                <w:bCs/>
              </w:rPr>
            </w:pPr>
            <w:r w:rsidRPr="00E9524C">
              <w:rPr>
                <w:rFonts w:cstheme="minorHAnsi"/>
                <w:b/>
                <w:bCs/>
              </w:rPr>
              <w:t>$437,966</w:t>
            </w:r>
          </w:p>
        </w:tc>
      </w:tr>
      <w:tr w:rsidR="00236C42" w:rsidRPr="00E9524C" w14:paraId="7C6E7D97" w14:textId="77777777" w:rsidTr="008630F1">
        <w:tc>
          <w:tcPr>
            <w:tcW w:w="6745" w:type="dxa"/>
          </w:tcPr>
          <w:p w14:paraId="6D030034" w14:textId="77777777" w:rsidR="00236C42" w:rsidRPr="00E9524C" w:rsidRDefault="00236C42" w:rsidP="008630F1">
            <w:pPr>
              <w:rPr>
                <w:rFonts w:cstheme="minorHAnsi"/>
              </w:rPr>
            </w:pPr>
            <w:r w:rsidRPr="00E9524C">
              <w:rPr>
                <w:rFonts w:cstheme="minorHAnsi"/>
                <w:b/>
                <w:bCs/>
              </w:rPr>
              <w:t>HOME Investment Partnership Program</w:t>
            </w:r>
            <w:r w:rsidRPr="00E9524C">
              <w:rPr>
                <w:rFonts w:cstheme="minorHAnsi"/>
              </w:rPr>
              <w:br/>
              <w:t xml:space="preserve">    CHDO Set Aside (Rehab/New Construction)</w:t>
            </w:r>
            <w:r w:rsidRPr="00E9524C">
              <w:rPr>
                <w:rFonts w:cstheme="minorHAnsi"/>
              </w:rPr>
              <w:br/>
              <w:t xml:space="preserve">    New Construction/Rehab</w:t>
            </w:r>
            <w:r w:rsidRPr="00E9524C">
              <w:rPr>
                <w:rFonts w:cstheme="minorHAnsi"/>
              </w:rPr>
              <w:br/>
              <w:t xml:space="preserve">    HOME Administration </w:t>
            </w:r>
          </w:p>
        </w:tc>
        <w:tc>
          <w:tcPr>
            <w:tcW w:w="1260" w:type="dxa"/>
          </w:tcPr>
          <w:p w14:paraId="272BC912" w14:textId="77777777" w:rsidR="00236C42" w:rsidRPr="00E9524C" w:rsidRDefault="00236C42" w:rsidP="008630F1">
            <w:pPr>
              <w:jc w:val="right"/>
              <w:rPr>
                <w:rFonts w:cstheme="minorHAnsi"/>
              </w:rPr>
            </w:pPr>
            <w:r w:rsidRPr="00E9524C">
              <w:rPr>
                <w:rFonts w:cstheme="minorHAnsi"/>
              </w:rPr>
              <w:br/>
              <w:t>333,831</w:t>
            </w:r>
            <w:r w:rsidRPr="00E9524C">
              <w:rPr>
                <w:rFonts w:cstheme="minorHAnsi"/>
              </w:rPr>
              <w:br/>
              <w:t>523,830</w:t>
            </w:r>
          </w:p>
          <w:p w14:paraId="55CD8CE2" w14:textId="77777777" w:rsidR="00236C42" w:rsidRPr="00E9524C" w:rsidRDefault="00236C42" w:rsidP="008630F1">
            <w:pPr>
              <w:jc w:val="right"/>
              <w:rPr>
                <w:rFonts w:cstheme="minorHAnsi"/>
              </w:rPr>
            </w:pPr>
            <w:r w:rsidRPr="00E9524C">
              <w:rPr>
                <w:rFonts w:cstheme="minorHAnsi"/>
              </w:rPr>
              <w:t>$95,295</w:t>
            </w:r>
          </w:p>
        </w:tc>
        <w:tc>
          <w:tcPr>
            <w:tcW w:w="1345" w:type="dxa"/>
          </w:tcPr>
          <w:p w14:paraId="49A28FAB" w14:textId="77777777" w:rsidR="00236C42" w:rsidRPr="00E9524C" w:rsidRDefault="00236C42" w:rsidP="008630F1">
            <w:pPr>
              <w:jc w:val="right"/>
              <w:rPr>
                <w:rFonts w:cstheme="minorHAnsi"/>
                <w:b/>
                <w:bCs/>
              </w:rPr>
            </w:pPr>
            <w:r w:rsidRPr="00E9524C">
              <w:rPr>
                <w:rFonts w:cstheme="minorHAnsi"/>
                <w:b/>
                <w:bCs/>
              </w:rPr>
              <w:br/>
            </w:r>
            <w:r w:rsidRPr="00E9524C">
              <w:rPr>
                <w:rFonts w:cstheme="minorHAnsi"/>
                <w:b/>
                <w:bCs/>
              </w:rPr>
              <w:br/>
            </w:r>
            <w:r w:rsidRPr="00E9524C">
              <w:rPr>
                <w:rFonts w:cstheme="minorHAnsi"/>
                <w:b/>
                <w:bCs/>
              </w:rPr>
              <w:br/>
              <w:t>$952,956</w:t>
            </w:r>
          </w:p>
        </w:tc>
      </w:tr>
      <w:tr w:rsidR="00236C42" w:rsidRPr="00C83004" w14:paraId="0D8D0174" w14:textId="77777777" w:rsidTr="008630F1">
        <w:tc>
          <w:tcPr>
            <w:tcW w:w="6745" w:type="dxa"/>
          </w:tcPr>
          <w:p w14:paraId="35D50E54" w14:textId="77777777" w:rsidR="00236C42" w:rsidRPr="00C83004" w:rsidRDefault="00236C42" w:rsidP="008630F1">
            <w:pPr>
              <w:rPr>
                <w:rFonts w:cstheme="minorHAnsi"/>
              </w:rPr>
            </w:pPr>
            <w:r w:rsidRPr="00C83004">
              <w:rPr>
                <w:rFonts w:cstheme="minorHAnsi"/>
                <w:b/>
                <w:bCs/>
              </w:rPr>
              <w:t>Emergency Solutions Grants (ESG)</w:t>
            </w:r>
            <w:r w:rsidRPr="00C83004">
              <w:rPr>
                <w:rFonts w:cstheme="minorHAnsi"/>
              </w:rPr>
              <w:br/>
              <w:t xml:space="preserve">    ESG Program Activities</w:t>
            </w:r>
            <w:r w:rsidRPr="00C83004">
              <w:rPr>
                <w:rFonts w:cstheme="minorHAnsi"/>
              </w:rPr>
              <w:br/>
              <w:t xml:space="preserve">    ESG Administration </w:t>
            </w:r>
          </w:p>
        </w:tc>
        <w:tc>
          <w:tcPr>
            <w:tcW w:w="1260" w:type="dxa"/>
          </w:tcPr>
          <w:p w14:paraId="49938BC0" w14:textId="77777777" w:rsidR="00236C42" w:rsidRPr="00C83004" w:rsidRDefault="00236C42" w:rsidP="008630F1">
            <w:pPr>
              <w:jc w:val="right"/>
              <w:rPr>
                <w:rFonts w:cstheme="minorHAnsi"/>
              </w:rPr>
            </w:pPr>
            <w:r w:rsidRPr="00C83004">
              <w:rPr>
                <w:rFonts w:cstheme="minorHAnsi"/>
              </w:rPr>
              <w:br/>
              <w:t>$181,813</w:t>
            </w:r>
            <w:r w:rsidRPr="00C83004">
              <w:rPr>
                <w:rFonts w:cstheme="minorHAnsi"/>
              </w:rPr>
              <w:br/>
              <w:t>$13,660</w:t>
            </w:r>
          </w:p>
        </w:tc>
        <w:tc>
          <w:tcPr>
            <w:tcW w:w="1345" w:type="dxa"/>
          </w:tcPr>
          <w:p w14:paraId="3C65196B" w14:textId="77777777" w:rsidR="00236C42" w:rsidRPr="00C83004" w:rsidRDefault="00236C42" w:rsidP="008630F1">
            <w:pPr>
              <w:jc w:val="right"/>
              <w:rPr>
                <w:rFonts w:cstheme="minorHAnsi"/>
                <w:b/>
                <w:bCs/>
              </w:rPr>
            </w:pPr>
            <w:r w:rsidRPr="00C83004">
              <w:rPr>
                <w:rFonts w:cstheme="minorHAnsi"/>
                <w:b/>
                <w:bCs/>
              </w:rPr>
              <w:br/>
            </w:r>
            <w:r w:rsidRPr="00C83004">
              <w:rPr>
                <w:rFonts w:cstheme="minorHAnsi"/>
                <w:b/>
                <w:bCs/>
              </w:rPr>
              <w:br/>
              <w:t>$19</w:t>
            </w:r>
            <w:r>
              <w:rPr>
                <w:rFonts w:cstheme="minorHAnsi"/>
                <w:b/>
                <w:bCs/>
              </w:rPr>
              <w:t>5,473</w:t>
            </w:r>
          </w:p>
        </w:tc>
      </w:tr>
      <w:tr w:rsidR="00236C42" w:rsidRPr="00C83004" w14:paraId="27850233" w14:textId="77777777" w:rsidTr="008630F1">
        <w:tc>
          <w:tcPr>
            <w:tcW w:w="6745" w:type="dxa"/>
          </w:tcPr>
          <w:p w14:paraId="757D81F9" w14:textId="77777777" w:rsidR="00236C42" w:rsidRPr="00C83004" w:rsidRDefault="00236C42" w:rsidP="008630F1">
            <w:pPr>
              <w:rPr>
                <w:rFonts w:cstheme="minorHAnsi"/>
                <w:b/>
                <w:bCs/>
              </w:rPr>
            </w:pPr>
            <w:r w:rsidRPr="00C83004">
              <w:rPr>
                <w:rFonts w:cstheme="minorHAnsi"/>
                <w:b/>
                <w:bCs/>
              </w:rPr>
              <w:t>Total</w:t>
            </w:r>
          </w:p>
        </w:tc>
        <w:tc>
          <w:tcPr>
            <w:tcW w:w="1260" w:type="dxa"/>
          </w:tcPr>
          <w:p w14:paraId="6AF02E8E" w14:textId="77777777" w:rsidR="00236C42" w:rsidRPr="00C83004" w:rsidRDefault="00236C42" w:rsidP="008630F1">
            <w:pPr>
              <w:jc w:val="right"/>
              <w:rPr>
                <w:rFonts w:cstheme="minorHAnsi"/>
              </w:rPr>
            </w:pPr>
          </w:p>
        </w:tc>
        <w:tc>
          <w:tcPr>
            <w:tcW w:w="1345" w:type="dxa"/>
          </w:tcPr>
          <w:p w14:paraId="1B36FC98" w14:textId="77777777" w:rsidR="00236C42" w:rsidRPr="00C83004" w:rsidRDefault="00236C42" w:rsidP="008630F1">
            <w:pPr>
              <w:jc w:val="right"/>
              <w:rPr>
                <w:rFonts w:cstheme="minorHAnsi"/>
                <w:b/>
                <w:bCs/>
              </w:rPr>
            </w:pPr>
            <w:r w:rsidRPr="00C83004">
              <w:rPr>
                <w:rFonts w:cstheme="minorHAnsi"/>
                <w:b/>
                <w:bCs/>
              </w:rPr>
              <w:t>$3,338,263</w:t>
            </w:r>
          </w:p>
        </w:tc>
      </w:tr>
    </w:tbl>
    <w:p w14:paraId="2D0C1A4A" w14:textId="31CDB9CB" w:rsidR="00AE5C5C" w:rsidRDefault="00AE5C5C">
      <w:pPr>
        <w:spacing w:line="240" w:lineRule="auto"/>
      </w:pPr>
    </w:p>
    <w:p w14:paraId="15B9F8FA" w14:textId="309E508A" w:rsidR="00C50F57" w:rsidRDefault="00C50F57" w:rsidP="00C50F57">
      <w:pPr>
        <w:spacing w:line="240" w:lineRule="auto"/>
        <w:jc w:val="both"/>
        <w:rPr>
          <w:rFonts w:cstheme="minorHAnsi"/>
        </w:rPr>
      </w:pPr>
      <w:r w:rsidRPr="00CC7154">
        <w:rPr>
          <w:rFonts w:cstheme="minorHAnsi"/>
          <w:b/>
          <w:bCs/>
          <w:u w:val="single"/>
        </w:rPr>
        <w:t>Public Hearing</w:t>
      </w:r>
      <w:r w:rsidRPr="00CC7154">
        <w:rPr>
          <w:rFonts w:cstheme="minorHAnsi"/>
          <w:b/>
          <w:bCs/>
        </w:rPr>
        <w:t>:</w:t>
      </w:r>
      <w:r w:rsidRPr="00CC7154">
        <w:rPr>
          <w:rFonts w:cstheme="minorHAnsi"/>
        </w:rPr>
        <w:t xml:space="preserve"> A final public hearing will be held on July 14, 2022, </w:t>
      </w:r>
      <w:r>
        <w:rPr>
          <w:rFonts w:cstheme="minorHAnsi"/>
        </w:rPr>
        <w:t>at 7</w:t>
      </w:r>
      <w:r w:rsidRPr="00CC7154">
        <w:rPr>
          <w:rFonts w:cstheme="minorHAnsi"/>
        </w:rPr>
        <w:t>p.m. for the 2022-2026 Consolidated Plan. The public hearing will take place in the Commission Chambers in the Lobby of the Municipal Office Building, 701 North 7</w:t>
      </w:r>
      <w:r w:rsidRPr="00CC7154">
        <w:rPr>
          <w:rFonts w:cstheme="minorHAnsi"/>
          <w:vertAlign w:val="superscript"/>
        </w:rPr>
        <w:t>th</w:t>
      </w:r>
      <w:r w:rsidRPr="00CC7154">
        <w:rPr>
          <w:rFonts w:cstheme="minorHAnsi"/>
        </w:rPr>
        <w:t xml:space="preserve"> Street. </w:t>
      </w:r>
      <w:r>
        <w:rPr>
          <w:rFonts w:cstheme="minorHAnsi"/>
        </w:rPr>
        <w:t>More information will be released soon!</w:t>
      </w:r>
    </w:p>
    <w:p w14:paraId="3C5D660E" w14:textId="77777777" w:rsidR="00C50F57" w:rsidRDefault="00C50F57">
      <w:pPr>
        <w:spacing w:line="240" w:lineRule="auto"/>
      </w:pPr>
    </w:p>
    <w:sectPr w:rsidR="00C50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0B23"/>
    <w:multiLevelType w:val="hybridMultilevel"/>
    <w:tmpl w:val="CCDA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339C7"/>
    <w:multiLevelType w:val="hybridMultilevel"/>
    <w:tmpl w:val="ABBC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93625"/>
    <w:multiLevelType w:val="hybridMultilevel"/>
    <w:tmpl w:val="F3B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585187">
    <w:abstractNumId w:val="2"/>
  </w:num>
  <w:num w:numId="2" w16cid:durableId="1040739563">
    <w:abstractNumId w:val="0"/>
  </w:num>
  <w:num w:numId="3" w16cid:durableId="1926913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8B"/>
    <w:rsid w:val="00030A2A"/>
    <w:rsid w:val="000F796A"/>
    <w:rsid w:val="00236C42"/>
    <w:rsid w:val="0044570A"/>
    <w:rsid w:val="00450B32"/>
    <w:rsid w:val="005213AC"/>
    <w:rsid w:val="005B429E"/>
    <w:rsid w:val="00600D60"/>
    <w:rsid w:val="006C1643"/>
    <w:rsid w:val="006D4FDC"/>
    <w:rsid w:val="007F1A38"/>
    <w:rsid w:val="0098257F"/>
    <w:rsid w:val="009B2295"/>
    <w:rsid w:val="00A02BCE"/>
    <w:rsid w:val="00AE5C5C"/>
    <w:rsid w:val="00C50F57"/>
    <w:rsid w:val="00C6718B"/>
    <w:rsid w:val="00CB5F97"/>
    <w:rsid w:val="00D5758C"/>
    <w:rsid w:val="00E5578B"/>
    <w:rsid w:val="00F7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206C"/>
  <w15:chartTrackingRefBased/>
  <w15:docId w15:val="{23866B1D-7F16-4ABC-B866-3333C16E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8B"/>
    <w:pPr>
      <w:ind w:left="720"/>
      <w:contextualSpacing/>
    </w:pPr>
  </w:style>
  <w:style w:type="character" w:styleId="Hyperlink">
    <w:name w:val="Hyperlink"/>
    <w:basedOn w:val="DefaultParagraphFont"/>
    <w:uiPriority w:val="99"/>
    <w:unhideWhenUsed/>
    <w:rsid w:val="006D4FDC"/>
    <w:rPr>
      <w:color w:val="0563C1" w:themeColor="hyperlink"/>
      <w:u w:val="single"/>
    </w:rPr>
  </w:style>
  <w:style w:type="character" w:styleId="UnresolvedMention">
    <w:name w:val="Unresolved Mention"/>
    <w:basedOn w:val="DefaultParagraphFont"/>
    <w:uiPriority w:val="99"/>
    <w:semiHidden/>
    <w:unhideWhenUsed/>
    <w:rsid w:val="006D4FDC"/>
    <w:rPr>
      <w:color w:val="605E5C"/>
      <w:shd w:val="clear" w:color="auto" w:fill="E1DFDD"/>
    </w:rPr>
  </w:style>
  <w:style w:type="character" w:styleId="FollowedHyperlink">
    <w:name w:val="FollowedHyperlink"/>
    <w:basedOn w:val="DefaultParagraphFont"/>
    <w:uiPriority w:val="99"/>
    <w:semiHidden/>
    <w:unhideWhenUsed/>
    <w:rsid w:val="00C6718B"/>
    <w:rPr>
      <w:color w:val="954F72" w:themeColor="followedHyperlink"/>
      <w:u w:val="single"/>
    </w:rPr>
  </w:style>
  <w:style w:type="table" w:styleId="TableGrid">
    <w:name w:val="Table Grid"/>
    <w:basedOn w:val="TableNormal"/>
    <w:uiPriority w:val="39"/>
    <w:rsid w:val="0023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ycokck.org/Departments/Community-Development/Community-Development-Consolidated-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Fisch</dc:creator>
  <cp:keywords/>
  <dc:description/>
  <cp:lastModifiedBy>Stauffer, Stephanie</cp:lastModifiedBy>
  <cp:revision>8</cp:revision>
  <dcterms:created xsi:type="dcterms:W3CDTF">2022-05-25T14:43:00Z</dcterms:created>
  <dcterms:modified xsi:type="dcterms:W3CDTF">2022-05-25T15:11:00Z</dcterms:modified>
</cp:coreProperties>
</file>